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6FE7" w:rsidRPr="00AD6FE7" w:rsidRDefault="00AD6FE7" w:rsidP="00AD6FE7">
      <w:pPr>
        <w:rPr>
          <w:rFonts w:ascii="Times New Roman" w:hAnsi="Times New Roman" w:cs="Times New Roman"/>
          <w:b/>
          <w:bCs/>
          <w:color w:val="000000" w:themeColor="text1"/>
          <w:sz w:val="32"/>
          <w:szCs w:val="32"/>
        </w:rPr>
      </w:pPr>
      <w:r w:rsidRPr="00AD6FE7">
        <w:rPr>
          <w:rFonts w:ascii="Times New Roman" w:hAnsi="Times New Roman" w:cs="Times New Roman"/>
          <w:b/>
          <w:bCs/>
          <w:color w:val="000000" w:themeColor="text1"/>
          <w:sz w:val="32"/>
          <w:szCs w:val="32"/>
        </w:rPr>
        <w:t>The Impact of Early Mathematics Intervention on First-Grade Achievement Outcomes</w:t>
      </w:r>
    </w:p>
    <w:p w:rsidR="00AD6FE7" w:rsidRDefault="00AD6FE7" w:rsidP="00AD6FE7">
      <w:pPr>
        <w:rPr>
          <w:rFonts w:ascii="Times New Roman" w:hAnsi="Times New Roman" w:cs="Times New Roman"/>
          <w:color w:val="000000" w:themeColor="text1"/>
        </w:rPr>
      </w:pPr>
    </w:p>
    <w:p w:rsidR="00AD6FE7" w:rsidRPr="007531B7" w:rsidRDefault="00AD6FE7" w:rsidP="00AD6FE7">
      <w:pPr>
        <w:rPr>
          <w:rFonts w:ascii="Times New Roman" w:hAnsi="Times New Roman" w:cs="Times New Roman"/>
          <w:color w:val="000000" w:themeColor="text1"/>
        </w:rPr>
      </w:pPr>
      <w:r w:rsidRPr="007531B7">
        <w:rPr>
          <w:rFonts w:ascii="Times New Roman" w:hAnsi="Times New Roman" w:cs="Times New Roman"/>
          <w:color w:val="000000" w:themeColor="text1"/>
        </w:rPr>
        <w:t xml:space="preserve">Authors: Maria Gonzalez, Thomas Park  </w:t>
      </w:r>
    </w:p>
    <w:p w:rsidR="00AD6FE7" w:rsidRDefault="00AD6FE7" w:rsidP="00AD6FE7">
      <w:pPr>
        <w:rPr>
          <w:rFonts w:ascii="Times New Roman" w:hAnsi="Times New Roman" w:cs="Times New Roman"/>
          <w:color w:val="000000" w:themeColor="text1"/>
        </w:rPr>
      </w:pPr>
    </w:p>
    <w:p w:rsidR="00AD6FE7" w:rsidRPr="00AD6FE7" w:rsidRDefault="00AD6FE7" w:rsidP="00AD6FE7">
      <w:pPr>
        <w:rPr>
          <w:rFonts w:ascii="Times New Roman" w:hAnsi="Times New Roman" w:cs="Times New Roman"/>
          <w:b/>
          <w:bCs/>
          <w:color w:val="000000" w:themeColor="text1"/>
        </w:rPr>
      </w:pPr>
      <w:r w:rsidRPr="00AD6FE7">
        <w:rPr>
          <w:rFonts w:ascii="Times New Roman" w:hAnsi="Times New Roman" w:cs="Times New Roman"/>
          <w:b/>
          <w:bCs/>
          <w:color w:val="000000" w:themeColor="text1"/>
        </w:rPr>
        <w:t>Abstract</w:t>
      </w:r>
    </w:p>
    <w:p w:rsidR="00AD6FE7" w:rsidRDefault="00AD6FE7" w:rsidP="00AD6FE7">
      <w:pPr>
        <w:rPr>
          <w:rFonts w:ascii="Times New Roman" w:hAnsi="Times New Roman" w:cs="Times New Roman"/>
          <w:color w:val="000000" w:themeColor="text1"/>
        </w:rPr>
      </w:pPr>
      <w:r w:rsidRPr="00AD6FE7">
        <w:rPr>
          <w:rFonts w:ascii="Times New Roman" w:hAnsi="Times New Roman" w:cs="Times New Roman"/>
          <w:color w:val="000000" w:themeColor="text1"/>
        </w:rPr>
        <w:t>This study investigates the relationship between specialized mathematics interventions in kindergarten and subsequent mathematics achievement in first grade. Utilizing restricted-use data from a nationally representative longitudinal study, we analyzed child-level assessment scores, teacher surveys, and demographic covariates to determine if early targeted pull-out instruction mitigates early skill gaps. Results indicate a significant positive effect for children receiving high-intensity interventions.</w:t>
      </w:r>
    </w:p>
    <w:p w:rsidR="00091426" w:rsidRPr="00AD6FE7" w:rsidRDefault="00091426" w:rsidP="00AD6FE7">
      <w:pPr>
        <w:rPr>
          <w:rFonts w:ascii="Times New Roman" w:hAnsi="Times New Roman" w:cs="Times New Roman"/>
          <w:color w:val="000000" w:themeColor="text1"/>
        </w:rPr>
      </w:pPr>
    </w:p>
    <w:p w:rsidR="00AD6FE7" w:rsidRPr="00AD6FE7" w:rsidRDefault="00AD6FE7" w:rsidP="00AD6FE7">
      <w:pPr>
        <w:rPr>
          <w:rFonts w:ascii="Times New Roman" w:hAnsi="Times New Roman" w:cs="Times New Roman"/>
          <w:b/>
          <w:bCs/>
          <w:color w:val="000000" w:themeColor="text1"/>
        </w:rPr>
      </w:pPr>
      <w:r w:rsidRPr="00AD6FE7">
        <w:rPr>
          <w:rFonts w:ascii="Times New Roman" w:hAnsi="Times New Roman" w:cs="Times New Roman"/>
          <w:b/>
          <w:bCs/>
          <w:color w:val="000000" w:themeColor="text1"/>
        </w:rPr>
        <w:t>1. Introduction</w:t>
      </w:r>
    </w:p>
    <w:p w:rsidR="00AD6FE7" w:rsidRDefault="00AD6FE7" w:rsidP="00AD6FE7">
      <w:pPr>
        <w:rPr>
          <w:rFonts w:ascii="Times New Roman" w:hAnsi="Times New Roman" w:cs="Times New Roman"/>
          <w:color w:val="000000" w:themeColor="text1"/>
        </w:rPr>
      </w:pPr>
      <w:r w:rsidRPr="00AD6FE7">
        <w:rPr>
          <w:rFonts w:ascii="Times New Roman" w:hAnsi="Times New Roman" w:cs="Times New Roman"/>
          <w:color w:val="000000" w:themeColor="text1"/>
        </w:rPr>
        <w:t>Early mathematics skills are a strong predictor of later academic success. While public-use data provides broad trends in early childhood education, answering nuanced questions about specific intervention strategies requires access to detailed, restricted-level variables regarding teacher qualifications and precise pull-out intervention timing. This paper leverages longitudinal tracking to isolate these effects.</w:t>
      </w:r>
    </w:p>
    <w:p w:rsidR="00091426" w:rsidRPr="00AD6FE7" w:rsidRDefault="00091426" w:rsidP="00AD6FE7">
      <w:pPr>
        <w:rPr>
          <w:rFonts w:ascii="Times New Roman" w:hAnsi="Times New Roman" w:cs="Times New Roman"/>
          <w:color w:val="000000" w:themeColor="text1"/>
        </w:rPr>
      </w:pPr>
    </w:p>
    <w:p w:rsidR="00AD6FE7" w:rsidRPr="00AD6FE7" w:rsidRDefault="00AD6FE7" w:rsidP="00AD6FE7">
      <w:pPr>
        <w:rPr>
          <w:rFonts w:ascii="Times New Roman" w:hAnsi="Times New Roman" w:cs="Times New Roman"/>
          <w:b/>
          <w:bCs/>
          <w:color w:val="000000" w:themeColor="text1"/>
        </w:rPr>
      </w:pPr>
      <w:r w:rsidRPr="00AD6FE7">
        <w:rPr>
          <w:rFonts w:ascii="Times New Roman" w:hAnsi="Times New Roman" w:cs="Times New Roman"/>
          <w:b/>
          <w:bCs/>
          <w:color w:val="000000" w:themeColor="text1"/>
        </w:rPr>
        <w:t>2. Methodology</w:t>
      </w:r>
    </w:p>
    <w:p w:rsidR="00AD6FE7" w:rsidRPr="00AD6FE7" w:rsidRDefault="00AD6FE7" w:rsidP="00AD6FE7">
      <w:pPr>
        <w:rPr>
          <w:rFonts w:ascii="Times New Roman" w:hAnsi="Times New Roman" w:cs="Times New Roman"/>
          <w:b/>
          <w:bCs/>
          <w:color w:val="000000" w:themeColor="text1"/>
        </w:rPr>
      </w:pPr>
      <w:r w:rsidRPr="00AD6FE7">
        <w:rPr>
          <w:rFonts w:ascii="Times New Roman" w:hAnsi="Times New Roman" w:cs="Times New Roman"/>
          <w:b/>
          <w:bCs/>
          <w:color w:val="000000" w:themeColor="text1"/>
        </w:rPr>
        <w:t>2.1 Data Source</w:t>
      </w:r>
    </w:p>
    <w:p w:rsidR="00AD6FE7" w:rsidRDefault="00AD6FE7" w:rsidP="00AD6FE7">
      <w:pPr>
        <w:rPr>
          <w:rFonts w:ascii="Times New Roman" w:hAnsi="Times New Roman" w:cs="Times New Roman"/>
          <w:color w:val="000000" w:themeColor="text1"/>
        </w:rPr>
      </w:pPr>
      <w:r w:rsidRPr="00AD6FE7">
        <w:rPr>
          <w:rFonts w:ascii="Times New Roman" w:hAnsi="Times New Roman" w:cs="Times New Roman"/>
          <w:color w:val="000000" w:themeColor="text1"/>
        </w:rPr>
        <w:t>Data for this study were drawn from the restricted-use files of the Early Childhood Longitudinal Study, Kindergarten Class of 2010-11 (ECLS-K:2011). The ECLS-K:2011 follows a nationally representative sample of children from their kindergarten year through fifth grade. We restricted our analytic sample to children who had complete data for both the fall kindergarten and spring first-grade direct cognitive mathematics assessments.</w:t>
      </w:r>
    </w:p>
    <w:p w:rsidR="00091426" w:rsidRPr="00AD6FE7" w:rsidRDefault="00091426" w:rsidP="00AD6FE7">
      <w:pPr>
        <w:rPr>
          <w:rFonts w:ascii="Times New Roman" w:hAnsi="Times New Roman" w:cs="Times New Roman"/>
          <w:color w:val="000000" w:themeColor="text1"/>
        </w:rPr>
      </w:pPr>
    </w:p>
    <w:p w:rsidR="00AD6FE7" w:rsidRPr="00AD6FE7" w:rsidRDefault="00AD6FE7" w:rsidP="00AD6FE7">
      <w:pPr>
        <w:rPr>
          <w:rFonts w:ascii="Times New Roman" w:hAnsi="Times New Roman" w:cs="Times New Roman"/>
          <w:b/>
          <w:bCs/>
          <w:color w:val="000000" w:themeColor="text1"/>
        </w:rPr>
      </w:pPr>
      <w:r w:rsidRPr="00AD6FE7">
        <w:rPr>
          <w:rFonts w:ascii="Times New Roman" w:hAnsi="Times New Roman" w:cs="Times New Roman"/>
          <w:b/>
          <w:bCs/>
          <w:color w:val="000000" w:themeColor="text1"/>
        </w:rPr>
        <w:t>2.2 Sample Size</w:t>
      </w:r>
    </w:p>
    <w:p w:rsidR="00AD6FE7" w:rsidRPr="00AD6FE7" w:rsidRDefault="00AD6FE7" w:rsidP="00AD6FE7">
      <w:pPr>
        <w:rPr>
          <w:rFonts w:ascii="Times New Roman" w:hAnsi="Times New Roman" w:cs="Times New Roman"/>
          <w:color w:val="000000" w:themeColor="text1"/>
        </w:rPr>
      </w:pPr>
      <w:r w:rsidRPr="00AD6FE7">
        <w:rPr>
          <w:rFonts w:ascii="Times New Roman" w:hAnsi="Times New Roman" w:cs="Times New Roman"/>
          <w:color w:val="000000" w:themeColor="text1"/>
        </w:rPr>
        <w:t>After applying survey weights and removing cases with missing data on key variables (primarily teacher intervention logs), our final analytic sample consisted of 14,32</w:t>
      </w:r>
      <w:r>
        <w:rPr>
          <w:rFonts w:ascii="Times New Roman" w:hAnsi="Times New Roman" w:cs="Times New Roman"/>
          <w:color w:val="000000" w:themeColor="text1"/>
        </w:rPr>
        <w:t>0</w:t>
      </w:r>
      <w:r w:rsidRPr="00AD6FE7">
        <w:rPr>
          <w:rFonts w:ascii="Times New Roman" w:hAnsi="Times New Roman" w:cs="Times New Roman"/>
          <w:color w:val="000000" w:themeColor="text1"/>
        </w:rPr>
        <w:t xml:space="preserve"> students nested within 1,21</w:t>
      </w:r>
      <w:r>
        <w:rPr>
          <w:rFonts w:ascii="Times New Roman" w:hAnsi="Times New Roman" w:cs="Times New Roman"/>
          <w:color w:val="000000" w:themeColor="text1"/>
        </w:rPr>
        <w:t>0</w:t>
      </w:r>
      <w:r w:rsidRPr="00AD6FE7">
        <w:rPr>
          <w:rFonts w:ascii="Times New Roman" w:hAnsi="Times New Roman" w:cs="Times New Roman"/>
          <w:color w:val="000000" w:themeColor="text1"/>
        </w:rPr>
        <w:t xml:space="preserve"> schools.</w:t>
      </w:r>
      <w:r>
        <w:rPr>
          <w:rFonts w:ascii="Times New Roman" w:hAnsi="Times New Roman" w:cs="Times New Roman"/>
          <w:color w:val="000000" w:themeColor="text1"/>
        </w:rPr>
        <w:t xml:space="preserve"> </w:t>
      </w:r>
      <w:r w:rsidRPr="00AD6FE7">
        <w:rPr>
          <w:rFonts w:ascii="Times New Roman" w:hAnsi="Times New Roman" w:cs="Times New Roman"/>
          <w:color w:val="000000" w:themeColor="text1"/>
        </w:rPr>
        <w:t>Numbers are unweighted and rounded to nearest tens according to the IES reporting policy.</w:t>
      </w:r>
    </w:p>
    <w:p w:rsidR="00AD6FE7" w:rsidRPr="00AD6FE7" w:rsidRDefault="00AD6FE7" w:rsidP="00AD6FE7">
      <w:pPr>
        <w:rPr>
          <w:rFonts w:ascii="Times New Roman" w:hAnsi="Times New Roman" w:cs="Times New Roman"/>
          <w:b/>
          <w:bCs/>
          <w:color w:val="000000" w:themeColor="text1"/>
        </w:rPr>
      </w:pPr>
      <w:r w:rsidRPr="00AD6FE7">
        <w:rPr>
          <w:rFonts w:ascii="Times New Roman" w:hAnsi="Times New Roman" w:cs="Times New Roman"/>
          <w:b/>
          <w:bCs/>
          <w:color w:val="000000" w:themeColor="text1"/>
        </w:rPr>
        <w:lastRenderedPageBreak/>
        <w:t>2.3 Measures</w:t>
      </w:r>
    </w:p>
    <w:p w:rsidR="00AD6FE7" w:rsidRPr="00AD6FE7" w:rsidRDefault="00AD6FE7" w:rsidP="00AD6FE7">
      <w:pPr>
        <w:rPr>
          <w:rFonts w:ascii="Times New Roman" w:hAnsi="Times New Roman" w:cs="Times New Roman"/>
          <w:color w:val="000000" w:themeColor="text1"/>
        </w:rPr>
      </w:pPr>
      <w:r w:rsidRPr="00AD6FE7">
        <w:rPr>
          <w:rFonts w:ascii="Times New Roman" w:hAnsi="Times New Roman" w:cs="Times New Roman"/>
          <w:i/>
          <w:iCs/>
          <w:color w:val="000000" w:themeColor="text1"/>
        </w:rPr>
        <w:t>Mathematics Achievement</w:t>
      </w:r>
      <w:r w:rsidRPr="00AD6FE7">
        <w:rPr>
          <w:rFonts w:ascii="Times New Roman" w:hAnsi="Times New Roman" w:cs="Times New Roman"/>
          <w:color w:val="000000" w:themeColor="text1"/>
        </w:rPr>
        <w:t>: The primary outcome variable is the spring first-grade mathematics Item Response Theory (IRT) scale score. The IRT scores in our sample ranged from a minimum of 12.4 to a maximum of 145.8.</w:t>
      </w:r>
    </w:p>
    <w:p w:rsidR="00AD6FE7" w:rsidRPr="00AD6FE7" w:rsidRDefault="00AD6FE7" w:rsidP="00AD6FE7">
      <w:pPr>
        <w:rPr>
          <w:rFonts w:ascii="Times New Roman" w:hAnsi="Times New Roman" w:cs="Times New Roman"/>
          <w:color w:val="000000" w:themeColor="text1"/>
        </w:rPr>
      </w:pPr>
      <w:r w:rsidRPr="00AD6FE7">
        <w:rPr>
          <w:rFonts w:ascii="Times New Roman" w:hAnsi="Times New Roman" w:cs="Times New Roman"/>
          <w:i/>
          <w:iCs/>
          <w:color w:val="000000" w:themeColor="text1"/>
        </w:rPr>
        <w:t>Intervention Status</w:t>
      </w:r>
      <w:r w:rsidRPr="00AD6FE7">
        <w:rPr>
          <w:rFonts w:ascii="Times New Roman" w:hAnsi="Times New Roman" w:cs="Times New Roman"/>
          <w:color w:val="000000" w:themeColor="text1"/>
        </w:rPr>
        <w:t>: Students were categorized into three groups based on teacher reports: No Intervention, Low-Intensity Pull-Out (1-2 times per week), and High-Intensity Pull-Out (3</w:t>
      </w:r>
      <w:r>
        <w:rPr>
          <w:rFonts w:ascii="Times New Roman" w:hAnsi="Times New Roman" w:cs="Times New Roman"/>
          <w:color w:val="000000" w:themeColor="text1"/>
        </w:rPr>
        <w:t xml:space="preserve"> or more</w:t>
      </w:r>
      <w:r w:rsidRPr="00AD6FE7">
        <w:rPr>
          <w:rFonts w:ascii="Times New Roman" w:hAnsi="Times New Roman" w:cs="Times New Roman"/>
          <w:color w:val="000000" w:themeColor="text1"/>
        </w:rPr>
        <w:t xml:space="preserve"> times per week).</w:t>
      </w:r>
    </w:p>
    <w:p w:rsidR="00AD6FE7" w:rsidRPr="00AD6FE7" w:rsidRDefault="00AD6FE7" w:rsidP="00AD6FE7">
      <w:pPr>
        <w:rPr>
          <w:rFonts w:ascii="Times New Roman" w:hAnsi="Times New Roman" w:cs="Times New Roman"/>
          <w:color w:val="000000" w:themeColor="text1"/>
        </w:rPr>
      </w:pPr>
    </w:p>
    <w:p w:rsidR="00AD6FE7" w:rsidRPr="00AD6FE7" w:rsidRDefault="00AD6FE7" w:rsidP="00AD6FE7">
      <w:pPr>
        <w:rPr>
          <w:rFonts w:ascii="Times New Roman" w:hAnsi="Times New Roman" w:cs="Times New Roman"/>
          <w:b/>
          <w:bCs/>
          <w:color w:val="000000" w:themeColor="text1"/>
        </w:rPr>
      </w:pPr>
      <w:r w:rsidRPr="00AD6FE7">
        <w:rPr>
          <w:rFonts w:ascii="Times New Roman" w:hAnsi="Times New Roman" w:cs="Times New Roman"/>
          <w:b/>
          <w:bCs/>
          <w:color w:val="000000" w:themeColor="text1"/>
        </w:rPr>
        <w:t>3. Results</w:t>
      </w:r>
    </w:p>
    <w:p w:rsidR="00AD6FE7" w:rsidRPr="00AD6FE7" w:rsidRDefault="00AD6FE7" w:rsidP="00AD6FE7">
      <w:pPr>
        <w:rPr>
          <w:rFonts w:ascii="Times New Roman" w:hAnsi="Times New Roman" w:cs="Times New Roman"/>
          <w:b/>
          <w:bCs/>
          <w:color w:val="000000" w:themeColor="text1"/>
        </w:rPr>
      </w:pPr>
      <w:r w:rsidRPr="00AD6FE7">
        <w:rPr>
          <w:rFonts w:ascii="Times New Roman" w:hAnsi="Times New Roman" w:cs="Times New Roman"/>
          <w:b/>
          <w:bCs/>
          <w:color w:val="000000" w:themeColor="text1"/>
        </w:rPr>
        <w:t>3.1 Descriptive Statistics</w:t>
      </w:r>
    </w:p>
    <w:p w:rsidR="00AD6FE7" w:rsidRDefault="00AD6FE7" w:rsidP="00AD6FE7">
      <w:pPr>
        <w:rPr>
          <w:rFonts w:ascii="Times New Roman" w:hAnsi="Times New Roman" w:cs="Times New Roman"/>
          <w:color w:val="000000" w:themeColor="text1"/>
        </w:rPr>
      </w:pPr>
      <w:r w:rsidRPr="00AD6FE7">
        <w:rPr>
          <w:rFonts w:ascii="Times New Roman" w:hAnsi="Times New Roman" w:cs="Times New Roman"/>
          <w:color w:val="000000" w:themeColor="text1"/>
        </w:rPr>
        <w:t>Table 1 presents the demographic breakdown of the analytic sample across the three intervention conditions.</w:t>
      </w:r>
    </w:p>
    <w:tbl>
      <w:tblPr>
        <w:tblStyle w:val="TableGrid"/>
        <w:tblW w:w="0" w:type="auto"/>
        <w:tblLook w:val="04A0" w:firstRow="1" w:lastRow="0" w:firstColumn="1" w:lastColumn="0" w:noHBand="0" w:noVBand="1"/>
      </w:tblPr>
      <w:tblGrid>
        <w:gridCol w:w="2236"/>
        <w:gridCol w:w="2208"/>
        <w:gridCol w:w="2206"/>
        <w:gridCol w:w="2206"/>
      </w:tblGrid>
      <w:tr w:rsidR="00AD6FE7" w:rsidTr="00091426">
        <w:tc>
          <w:tcPr>
            <w:tcW w:w="2236" w:type="dxa"/>
            <w:tcBorders>
              <w:left w:val="nil"/>
              <w:bottom w:val="single" w:sz="4" w:space="0" w:color="auto"/>
            </w:tcBorders>
          </w:tcPr>
          <w:p w:rsidR="00AD6FE7" w:rsidRDefault="00AD6FE7" w:rsidP="00091426">
            <w:pPr>
              <w:jc w:val="center"/>
              <w:rPr>
                <w:rFonts w:ascii="Times New Roman" w:hAnsi="Times New Roman" w:cs="Times New Roman"/>
                <w:color w:val="000000" w:themeColor="text1"/>
              </w:rPr>
            </w:pPr>
            <w:r>
              <w:rPr>
                <w:rFonts w:ascii="Times New Roman" w:hAnsi="Times New Roman" w:cs="Times New Roman"/>
                <w:color w:val="000000" w:themeColor="text1"/>
              </w:rPr>
              <w:t>Characteristic</w:t>
            </w:r>
          </w:p>
        </w:tc>
        <w:tc>
          <w:tcPr>
            <w:tcW w:w="2208" w:type="dxa"/>
            <w:tcBorders>
              <w:bottom w:val="single" w:sz="4" w:space="0" w:color="auto"/>
            </w:tcBorders>
          </w:tcPr>
          <w:p w:rsidR="00AD6FE7" w:rsidRPr="00091426" w:rsidRDefault="00AD6FE7" w:rsidP="00091426">
            <w:pPr>
              <w:jc w:val="center"/>
              <w:rPr>
                <w:rFonts w:ascii="Times New Roman" w:hAnsi="Times New Roman" w:cs="Times New Roman"/>
                <w:color w:val="000000" w:themeColor="text1"/>
              </w:rPr>
            </w:pPr>
            <w:r w:rsidRPr="00091426">
              <w:rPr>
                <w:rFonts w:ascii="Times New Roman" w:hAnsi="Times New Roman" w:cs="Times New Roman"/>
                <w:color w:val="000000" w:themeColor="text1"/>
              </w:rPr>
              <w:t>No Intervention</w:t>
            </w:r>
          </w:p>
        </w:tc>
        <w:tc>
          <w:tcPr>
            <w:tcW w:w="2206" w:type="dxa"/>
            <w:tcBorders>
              <w:bottom w:val="single" w:sz="4" w:space="0" w:color="auto"/>
            </w:tcBorders>
          </w:tcPr>
          <w:p w:rsidR="00AD6FE7" w:rsidRPr="00091426" w:rsidRDefault="00AD6FE7" w:rsidP="00091426">
            <w:pPr>
              <w:jc w:val="center"/>
              <w:rPr>
                <w:rFonts w:ascii="Times New Roman" w:hAnsi="Times New Roman" w:cs="Times New Roman"/>
                <w:color w:val="000000" w:themeColor="text1"/>
              </w:rPr>
            </w:pPr>
            <w:r w:rsidRPr="00091426">
              <w:rPr>
                <w:rFonts w:ascii="Times New Roman" w:hAnsi="Times New Roman" w:cs="Times New Roman"/>
                <w:color w:val="000000" w:themeColor="text1"/>
              </w:rPr>
              <w:t>Low-Intensity</w:t>
            </w:r>
          </w:p>
        </w:tc>
        <w:tc>
          <w:tcPr>
            <w:tcW w:w="2206" w:type="dxa"/>
            <w:tcBorders>
              <w:bottom w:val="single" w:sz="4" w:space="0" w:color="auto"/>
              <w:right w:val="nil"/>
            </w:tcBorders>
          </w:tcPr>
          <w:p w:rsidR="00AD6FE7" w:rsidRPr="00091426" w:rsidRDefault="00AD6FE7" w:rsidP="00091426">
            <w:pPr>
              <w:jc w:val="center"/>
              <w:rPr>
                <w:rFonts w:ascii="Times New Roman" w:hAnsi="Times New Roman" w:cs="Times New Roman"/>
                <w:color w:val="000000" w:themeColor="text1"/>
              </w:rPr>
            </w:pPr>
            <w:r w:rsidRPr="00091426">
              <w:rPr>
                <w:rFonts w:ascii="Times New Roman" w:hAnsi="Times New Roman" w:cs="Times New Roman"/>
                <w:color w:val="000000" w:themeColor="text1"/>
              </w:rPr>
              <w:t>High-Intensity</w:t>
            </w:r>
          </w:p>
        </w:tc>
      </w:tr>
      <w:tr w:rsidR="00AD6FE7" w:rsidTr="00091426">
        <w:tc>
          <w:tcPr>
            <w:tcW w:w="2236" w:type="dxa"/>
            <w:tcBorders>
              <w:left w:val="nil"/>
              <w:bottom w:val="nil"/>
            </w:tcBorders>
          </w:tcPr>
          <w:p w:rsidR="00AD6FE7" w:rsidRPr="00091426" w:rsidRDefault="00AD6FE7" w:rsidP="00AD6FE7">
            <w:pPr>
              <w:rPr>
                <w:rFonts w:ascii="Times New Roman" w:hAnsi="Times New Roman" w:cs="Times New Roman"/>
                <w:i/>
                <w:iCs/>
                <w:color w:val="000000" w:themeColor="text1"/>
              </w:rPr>
            </w:pPr>
            <w:r w:rsidRPr="00091426">
              <w:rPr>
                <w:rFonts w:ascii="Times New Roman" w:hAnsi="Times New Roman" w:cs="Times New Roman"/>
                <w:i/>
                <w:iCs/>
                <w:color w:val="000000" w:themeColor="text1"/>
              </w:rPr>
              <w:t>Gender</w:t>
            </w:r>
          </w:p>
        </w:tc>
        <w:tc>
          <w:tcPr>
            <w:tcW w:w="2208" w:type="dxa"/>
            <w:tcBorders>
              <w:bottom w:val="nil"/>
            </w:tcBorders>
          </w:tcPr>
          <w:p w:rsidR="00AD6FE7" w:rsidRPr="00091426" w:rsidRDefault="00AD6FE7" w:rsidP="00091426">
            <w:pPr>
              <w:jc w:val="right"/>
              <w:rPr>
                <w:rFonts w:ascii="Times New Roman" w:hAnsi="Times New Roman" w:cs="Times New Roman"/>
                <w:color w:val="000000" w:themeColor="text1"/>
              </w:rPr>
            </w:pPr>
          </w:p>
        </w:tc>
        <w:tc>
          <w:tcPr>
            <w:tcW w:w="2206" w:type="dxa"/>
            <w:tcBorders>
              <w:bottom w:val="nil"/>
            </w:tcBorders>
          </w:tcPr>
          <w:p w:rsidR="00AD6FE7" w:rsidRPr="00091426" w:rsidRDefault="00AD6FE7" w:rsidP="00091426">
            <w:pPr>
              <w:jc w:val="right"/>
              <w:rPr>
                <w:rFonts w:ascii="Times New Roman" w:hAnsi="Times New Roman" w:cs="Times New Roman"/>
                <w:color w:val="000000" w:themeColor="text1"/>
              </w:rPr>
            </w:pPr>
          </w:p>
        </w:tc>
        <w:tc>
          <w:tcPr>
            <w:tcW w:w="2206" w:type="dxa"/>
            <w:tcBorders>
              <w:bottom w:val="nil"/>
              <w:right w:val="nil"/>
            </w:tcBorders>
          </w:tcPr>
          <w:p w:rsidR="00AD6FE7" w:rsidRPr="00091426" w:rsidRDefault="00AD6FE7" w:rsidP="00091426">
            <w:pPr>
              <w:jc w:val="right"/>
              <w:rPr>
                <w:rFonts w:ascii="Times New Roman" w:hAnsi="Times New Roman" w:cs="Times New Roman"/>
                <w:color w:val="000000" w:themeColor="text1"/>
              </w:rPr>
            </w:pPr>
          </w:p>
        </w:tc>
      </w:tr>
      <w:tr w:rsidR="00AD6FE7" w:rsidTr="00091426">
        <w:tc>
          <w:tcPr>
            <w:tcW w:w="2236" w:type="dxa"/>
            <w:tcBorders>
              <w:top w:val="nil"/>
              <w:left w:val="nil"/>
              <w:bottom w:val="nil"/>
            </w:tcBorders>
          </w:tcPr>
          <w:p w:rsidR="00AD6FE7" w:rsidRPr="00AD6FE7" w:rsidRDefault="00AD6FE7" w:rsidP="00AD6FE7">
            <w:pPr>
              <w:pStyle w:val="ListParagraph"/>
              <w:numPr>
                <w:ilvl w:val="0"/>
                <w:numId w:val="10"/>
              </w:numPr>
              <w:rPr>
                <w:rFonts w:ascii="Times New Roman" w:hAnsi="Times New Roman" w:cs="Times New Roman"/>
                <w:color w:val="000000" w:themeColor="text1"/>
              </w:rPr>
            </w:pPr>
            <w:r>
              <w:rPr>
                <w:rFonts w:ascii="Times New Roman" w:hAnsi="Times New Roman" w:cs="Times New Roman"/>
                <w:color w:val="000000" w:themeColor="text1"/>
              </w:rPr>
              <w:t>Male</w:t>
            </w:r>
          </w:p>
        </w:tc>
        <w:tc>
          <w:tcPr>
            <w:tcW w:w="2208" w:type="dxa"/>
            <w:tcBorders>
              <w:top w:val="nil"/>
              <w:bottom w:val="nil"/>
            </w:tcBorders>
          </w:tcPr>
          <w:p w:rsidR="00AD6FE7" w:rsidRPr="00091426" w:rsidRDefault="00091426" w:rsidP="00091426">
            <w:pPr>
              <w:jc w:val="right"/>
              <w:rPr>
                <w:rFonts w:ascii="Times New Roman" w:hAnsi="Times New Roman" w:cs="Times New Roman"/>
                <w:color w:val="000000" w:themeColor="text1"/>
              </w:rPr>
            </w:pPr>
            <w:r w:rsidRPr="00091426">
              <w:rPr>
                <w:rFonts w:ascii="Times New Roman" w:hAnsi="Times New Roman" w:cs="Times New Roman"/>
                <w:color w:val="000000" w:themeColor="text1"/>
              </w:rPr>
              <w:t>5,120</w:t>
            </w:r>
          </w:p>
        </w:tc>
        <w:tc>
          <w:tcPr>
            <w:tcW w:w="2206" w:type="dxa"/>
            <w:tcBorders>
              <w:top w:val="nil"/>
              <w:bottom w:val="nil"/>
            </w:tcBorders>
          </w:tcPr>
          <w:p w:rsidR="00AD6FE7" w:rsidRPr="00091426" w:rsidRDefault="00091426" w:rsidP="00091426">
            <w:pPr>
              <w:jc w:val="right"/>
              <w:rPr>
                <w:rFonts w:ascii="Times New Roman" w:hAnsi="Times New Roman" w:cs="Times New Roman"/>
                <w:color w:val="000000" w:themeColor="text1"/>
              </w:rPr>
            </w:pPr>
            <w:r w:rsidRPr="00091426">
              <w:rPr>
                <w:rFonts w:ascii="Times New Roman" w:hAnsi="Times New Roman" w:cs="Times New Roman"/>
                <w:color w:val="000000" w:themeColor="text1"/>
              </w:rPr>
              <w:t>1,420</w:t>
            </w:r>
          </w:p>
        </w:tc>
        <w:tc>
          <w:tcPr>
            <w:tcW w:w="2206" w:type="dxa"/>
            <w:tcBorders>
              <w:top w:val="nil"/>
              <w:bottom w:val="nil"/>
              <w:right w:val="nil"/>
            </w:tcBorders>
          </w:tcPr>
          <w:p w:rsidR="00AD6FE7" w:rsidRPr="00091426" w:rsidRDefault="00091426" w:rsidP="00091426">
            <w:pPr>
              <w:jc w:val="right"/>
              <w:rPr>
                <w:rFonts w:ascii="Times New Roman" w:hAnsi="Times New Roman" w:cs="Times New Roman"/>
                <w:color w:val="000000" w:themeColor="text1"/>
              </w:rPr>
            </w:pPr>
            <w:r w:rsidRPr="00091426">
              <w:rPr>
                <w:rFonts w:ascii="Times New Roman" w:hAnsi="Times New Roman" w:cs="Times New Roman"/>
                <w:color w:val="000000" w:themeColor="text1"/>
              </w:rPr>
              <w:t>580</w:t>
            </w:r>
          </w:p>
        </w:tc>
      </w:tr>
      <w:tr w:rsidR="00AD6FE7" w:rsidTr="00091426">
        <w:tc>
          <w:tcPr>
            <w:tcW w:w="2236" w:type="dxa"/>
            <w:tcBorders>
              <w:top w:val="nil"/>
              <w:left w:val="nil"/>
              <w:bottom w:val="nil"/>
            </w:tcBorders>
          </w:tcPr>
          <w:p w:rsidR="00AD6FE7" w:rsidRPr="00AD6FE7" w:rsidRDefault="00AD6FE7" w:rsidP="00AD6FE7">
            <w:pPr>
              <w:pStyle w:val="ListParagraph"/>
              <w:numPr>
                <w:ilvl w:val="0"/>
                <w:numId w:val="10"/>
              </w:numPr>
              <w:rPr>
                <w:rFonts w:ascii="Times New Roman" w:hAnsi="Times New Roman" w:cs="Times New Roman"/>
                <w:color w:val="000000" w:themeColor="text1"/>
              </w:rPr>
            </w:pPr>
            <w:r>
              <w:rPr>
                <w:rFonts w:ascii="Times New Roman" w:hAnsi="Times New Roman" w:cs="Times New Roman"/>
                <w:color w:val="000000" w:themeColor="text1"/>
              </w:rPr>
              <w:t>Female</w:t>
            </w:r>
          </w:p>
        </w:tc>
        <w:tc>
          <w:tcPr>
            <w:tcW w:w="2208" w:type="dxa"/>
            <w:tcBorders>
              <w:top w:val="nil"/>
              <w:bottom w:val="nil"/>
            </w:tcBorders>
          </w:tcPr>
          <w:p w:rsidR="00AD6FE7" w:rsidRPr="00091426" w:rsidRDefault="00091426" w:rsidP="00091426">
            <w:pPr>
              <w:jc w:val="right"/>
              <w:rPr>
                <w:rFonts w:ascii="Times New Roman" w:hAnsi="Times New Roman" w:cs="Times New Roman"/>
                <w:color w:val="000000" w:themeColor="text1"/>
              </w:rPr>
            </w:pPr>
            <w:r w:rsidRPr="00091426">
              <w:rPr>
                <w:rFonts w:ascii="Times New Roman" w:hAnsi="Times New Roman" w:cs="Times New Roman"/>
                <w:color w:val="000000" w:themeColor="text1"/>
              </w:rPr>
              <w:t>5,080</w:t>
            </w:r>
          </w:p>
        </w:tc>
        <w:tc>
          <w:tcPr>
            <w:tcW w:w="2206" w:type="dxa"/>
            <w:tcBorders>
              <w:top w:val="nil"/>
              <w:bottom w:val="nil"/>
            </w:tcBorders>
          </w:tcPr>
          <w:p w:rsidR="00AD6FE7" w:rsidRPr="00091426" w:rsidRDefault="00091426" w:rsidP="00091426">
            <w:pPr>
              <w:jc w:val="right"/>
              <w:rPr>
                <w:rFonts w:ascii="Times New Roman" w:hAnsi="Times New Roman" w:cs="Times New Roman"/>
                <w:color w:val="000000" w:themeColor="text1"/>
              </w:rPr>
            </w:pPr>
            <w:r w:rsidRPr="00091426">
              <w:rPr>
                <w:rFonts w:ascii="Times New Roman" w:hAnsi="Times New Roman" w:cs="Times New Roman"/>
                <w:color w:val="000000" w:themeColor="text1"/>
              </w:rPr>
              <w:t>1,400</w:t>
            </w:r>
          </w:p>
        </w:tc>
        <w:tc>
          <w:tcPr>
            <w:tcW w:w="2206" w:type="dxa"/>
            <w:tcBorders>
              <w:top w:val="nil"/>
              <w:bottom w:val="nil"/>
              <w:right w:val="nil"/>
            </w:tcBorders>
          </w:tcPr>
          <w:p w:rsidR="00AD6FE7" w:rsidRPr="00091426" w:rsidRDefault="00091426" w:rsidP="00091426">
            <w:pPr>
              <w:jc w:val="right"/>
              <w:rPr>
                <w:rFonts w:ascii="Times New Roman" w:hAnsi="Times New Roman" w:cs="Times New Roman"/>
                <w:color w:val="000000" w:themeColor="text1"/>
              </w:rPr>
            </w:pPr>
            <w:r w:rsidRPr="00091426">
              <w:rPr>
                <w:rFonts w:ascii="Times New Roman" w:hAnsi="Times New Roman" w:cs="Times New Roman"/>
                <w:color w:val="000000" w:themeColor="text1"/>
              </w:rPr>
              <w:t>720</w:t>
            </w:r>
          </w:p>
        </w:tc>
      </w:tr>
      <w:tr w:rsidR="00AD6FE7" w:rsidTr="00091426">
        <w:tc>
          <w:tcPr>
            <w:tcW w:w="2236" w:type="dxa"/>
            <w:tcBorders>
              <w:top w:val="nil"/>
              <w:left w:val="nil"/>
              <w:bottom w:val="nil"/>
            </w:tcBorders>
          </w:tcPr>
          <w:p w:rsidR="00AD6FE7" w:rsidRPr="00091426" w:rsidRDefault="00AD6FE7" w:rsidP="00AD6FE7">
            <w:pPr>
              <w:rPr>
                <w:rFonts w:ascii="Times New Roman" w:hAnsi="Times New Roman" w:cs="Times New Roman"/>
                <w:i/>
                <w:iCs/>
                <w:color w:val="000000" w:themeColor="text1"/>
              </w:rPr>
            </w:pPr>
            <w:r w:rsidRPr="00091426">
              <w:rPr>
                <w:rFonts w:ascii="Times New Roman" w:hAnsi="Times New Roman" w:cs="Times New Roman"/>
                <w:i/>
                <w:iCs/>
                <w:color w:val="000000" w:themeColor="text1"/>
              </w:rPr>
              <w:t>Race</w:t>
            </w:r>
            <w:r w:rsidR="00091426" w:rsidRPr="00091426">
              <w:rPr>
                <w:rFonts w:ascii="Times New Roman" w:hAnsi="Times New Roman" w:cs="Times New Roman"/>
                <w:i/>
                <w:iCs/>
                <w:color w:val="000000" w:themeColor="text1"/>
              </w:rPr>
              <w:t>/Ethnicity</w:t>
            </w:r>
          </w:p>
        </w:tc>
        <w:tc>
          <w:tcPr>
            <w:tcW w:w="2208" w:type="dxa"/>
            <w:tcBorders>
              <w:top w:val="nil"/>
              <w:bottom w:val="nil"/>
            </w:tcBorders>
          </w:tcPr>
          <w:p w:rsidR="00AD6FE7" w:rsidRPr="00091426" w:rsidRDefault="00AD6FE7" w:rsidP="00091426">
            <w:pPr>
              <w:jc w:val="right"/>
              <w:rPr>
                <w:rFonts w:ascii="Times New Roman" w:hAnsi="Times New Roman" w:cs="Times New Roman"/>
                <w:color w:val="000000" w:themeColor="text1"/>
              </w:rPr>
            </w:pPr>
          </w:p>
        </w:tc>
        <w:tc>
          <w:tcPr>
            <w:tcW w:w="2206" w:type="dxa"/>
            <w:tcBorders>
              <w:top w:val="nil"/>
              <w:bottom w:val="nil"/>
            </w:tcBorders>
          </w:tcPr>
          <w:p w:rsidR="00AD6FE7" w:rsidRPr="00091426" w:rsidRDefault="00AD6FE7" w:rsidP="00091426">
            <w:pPr>
              <w:jc w:val="right"/>
              <w:rPr>
                <w:rFonts w:ascii="Times New Roman" w:hAnsi="Times New Roman" w:cs="Times New Roman"/>
                <w:color w:val="000000" w:themeColor="text1"/>
              </w:rPr>
            </w:pPr>
          </w:p>
        </w:tc>
        <w:tc>
          <w:tcPr>
            <w:tcW w:w="2206" w:type="dxa"/>
            <w:tcBorders>
              <w:top w:val="nil"/>
              <w:bottom w:val="nil"/>
              <w:right w:val="nil"/>
            </w:tcBorders>
          </w:tcPr>
          <w:p w:rsidR="00AD6FE7" w:rsidRPr="00091426" w:rsidRDefault="00AD6FE7" w:rsidP="00091426">
            <w:pPr>
              <w:jc w:val="right"/>
              <w:rPr>
                <w:rFonts w:ascii="Times New Roman" w:hAnsi="Times New Roman" w:cs="Times New Roman"/>
                <w:color w:val="000000" w:themeColor="text1"/>
              </w:rPr>
            </w:pPr>
          </w:p>
        </w:tc>
      </w:tr>
      <w:tr w:rsidR="00091426" w:rsidTr="00091426">
        <w:tc>
          <w:tcPr>
            <w:tcW w:w="2236" w:type="dxa"/>
            <w:tcBorders>
              <w:top w:val="nil"/>
              <w:left w:val="nil"/>
              <w:bottom w:val="nil"/>
            </w:tcBorders>
          </w:tcPr>
          <w:p w:rsidR="00091426" w:rsidRPr="00091426" w:rsidRDefault="00091426" w:rsidP="00091426">
            <w:pPr>
              <w:pStyle w:val="ListParagraph"/>
              <w:numPr>
                <w:ilvl w:val="0"/>
                <w:numId w:val="10"/>
              </w:numPr>
              <w:rPr>
                <w:rFonts w:ascii="Times New Roman" w:hAnsi="Times New Roman" w:cs="Times New Roman"/>
                <w:color w:val="000000" w:themeColor="text1"/>
              </w:rPr>
            </w:pPr>
            <w:r>
              <w:rPr>
                <w:rFonts w:ascii="Times New Roman" w:hAnsi="Times New Roman" w:cs="Times New Roman"/>
                <w:color w:val="000000" w:themeColor="text1"/>
              </w:rPr>
              <w:t xml:space="preserve">White, </w:t>
            </w:r>
            <w:proofErr w:type="gramStart"/>
            <w:r>
              <w:rPr>
                <w:rFonts w:ascii="Times New Roman" w:hAnsi="Times New Roman" w:cs="Times New Roman"/>
                <w:color w:val="000000" w:themeColor="text1"/>
              </w:rPr>
              <w:t>Non-Hispanic</w:t>
            </w:r>
            <w:proofErr w:type="gramEnd"/>
          </w:p>
        </w:tc>
        <w:tc>
          <w:tcPr>
            <w:tcW w:w="2208" w:type="dxa"/>
            <w:tcBorders>
              <w:top w:val="nil"/>
              <w:bottom w:val="nil"/>
            </w:tcBorders>
            <w:vAlign w:val="center"/>
          </w:tcPr>
          <w:p w:rsidR="00091426" w:rsidRPr="00091426" w:rsidRDefault="00091426" w:rsidP="00091426">
            <w:pPr>
              <w:jc w:val="right"/>
              <w:rPr>
                <w:rFonts w:ascii="Times New Roman" w:hAnsi="Times New Roman" w:cs="Times New Roman"/>
                <w:color w:val="000000"/>
              </w:rPr>
            </w:pPr>
            <w:r w:rsidRPr="00091426">
              <w:rPr>
                <w:rFonts w:ascii="Times New Roman" w:hAnsi="Times New Roman" w:cs="Times New Roman"/>
                <w:color w:val="000000" w:themeColor="text1"/>
              </w:rPr>
              <w:t>5200</w:t>
            </w:r>
          </w:p>
        </w:tc>
        <w:tc>
          <w:tcPr>
            <w:tcW w:w="2206" w:type="dxa"/>
            <w:tcBorders>
              <w:top w:val="nil"/>
              <w:bottom w:val="nil"/>
            </w:tcBorders>
            <w:vAlign w:val="center"/>
          </w:tcPr>
          <w:p w:rsidR="00091426" w:rsidRPr="00091426" w:rsidRDefault="00091426" w:rsidP="00091426">
            <w:pPr>
              <w:jc w:val="right"/>
              <w:rPr>
                <w:rFonts w:ascii="Times New Roman" w:hAnsi="Times New Roman" w:cs="Times New Roman"/>
                <w:color w:val="000000"/>
              </w:rPr>
            </w:pPr>
            <w:r w:rsidRPr="00091426">
              <w:rPr>
                <w:rFonts w:ascii="Times New Roman" w:hAnsi="Times New Roman" w:cs="Times New Roman"/>
                <w:color w:val="000000" w:themeColor="text1"/>
              </w:rPr>
              <w:t>1200</w:t>
            </w:r>
          </w:p>
        </w:tc>
        <w:tc>
          <w:tcPr>
            <w:tcW w:w="2206" w:type="dxa"/>
            <w:tcBorders>
              <w:top w:val="nil"/>
              <w:bottom w:val="nil"/>
              <w:right w:val="nil"/>
            </w:tcBorders>
            <w:vAlign w:val="center"/>
          </w:tcPr>
          <w:p w:rsidR="00091426" w:rsidRPr="00091426" w:rsidRDefault="00091426" w:rsidP="00091426">
            <w:pPr>
              <w:jc w:val="right"/>
              <w:rPr>
                <w:rFonts w:ascii="Times New Roman" w:hAnsi="Times New Roman" w:cs="Times New Roman"/>
                <w:color w:val="000000"/>
              </w:rPr>
            </w:pPr>
            <w:r w:rsidRPr="00091426">
              <w:rPr>
                <w:rFonts w:ascii="Times New Roman" w:hAnsi="Times New Roman" w:cs="Times New Roman"/>
                <w:color w:val="000000" w:themeColor="text1"/>
              </w:rPr>
              <w:t>500</w:t>
            </w:r>
          </w:p>
        </w:tc>
      </w:tr>
      <w:tr w:rsidR="00091426" w:rsidTr="00091426">
        <w:tc>
          <w:tcPr>
            <w:tcW w:w="2236" w:type="dxa"/>
            <w:tcBorders>
              <w:top w:val="nil"/>
              <w:left w:val="nil"/>
              <w:bottom w:val="nil"/>
            </w:tcBorders>
          </w:tcPr>
          <w:p w:rsidR="00091426" w:rsidRPr="00091426" w:rsidRDefault="00091426" w:rsidP="00091426">
            <w:pPr>
              <w:pStyle w:val="ListParagraph"/>
              <w:numPr>
                <w:ilvl w:val="0"/>
                <w:numId w:val="10"/>
              </w:numPr>
              <w:rPr>
                <w:rFonts w:ascii="Times New Roman" w:hAnsi="Times New Roman" w:cs="Times New Roman"/>
                <w:color w:val="000000" w:themeColor="text1"/>
              </w:rPr>
            </w:pPr>
            <w:r>
              <w:rPr>
                <w:rFonts w:ascii="Times New Roman" w:hAnsi="Times New Roman" w:cs="Times New Roman"/>
                <w:color w:val="000000" w:themeColor="text1"/>
              </w:rPr>
              <w:t xml:space="preserve">Black, </w:t>
            </w:r>
            <w:proofErr w:type="gramStart"/>
            <w:r>
              <w:rPr>
                <w:rFonts w:ascii="Times New Roman" w:hAnsi="Times New Roman" w:cs="Times New Roman"/>
                <w:color w:val="000000" w:themeColor="text1"/>
              </w:rPr>
              <w:t>Non-Hispanic</w:t>
            </w:r>
            <w:proofErr w:type="gramEnd"/>
          </w:p>
        </w:tc>
        <w:tc>
          <w:tcPr>
            <w:tcW w:w="2208" w:type="dxa"/>
            <w:tcBorders>
              <w:top w:val="nil"/>
              <w:bottom w:val="nil"/>
            </w:tcBorders>
            <w:vAlign w:val="center"/>
          </w:tcPr>
          <w:p w:rsidR="00091426" w:rsidRPr="00091426" w:rsidRDefault="00091426" w:rsidP="00091426">
            <w:pPr>
              <w:jc w:val="right"/>
              <w:rPr>
                <w:rFonts w:ascii="Times New Roman" w:hAnsi="Times New Roman" w:cs="Times New Roman"/>
                <w:color w:val="000000"/>
              </w:rPr>
            </w:pPr>
            <w:r w:rsidRPr="00091426">
              <w:rPr>
                <w:rFonts w:ascii="Times New Roman" w:hAnsi="Times New Roman" w:cs="Times New Roman"/>
                <w:color w:val="000000" w:themeColor="text1"/>
              </w:rPr>
              <w:t>2110</w:t>
            </w:r>
          </w:p>
        </w:tc>
        <w:tc>
          <w:tcPr>
            <w:tcW w:w="2206" w:type="dxa"/>
            <w:tcBorders>
              <w:top w:val="nil"/>
              <w:bottom w:val="nil"/>
            </w:tcBorders>
            <w:vAlign w:val="center"/>
          </w:tcPr>
          <w:p w:rsidR="00091426" w:rsidRPr="00091426" w:rsidRDefault="00091426" w:rsidP="00091426">
            <w:pPr>
              <w:jc w:val="right"/>
              <w:rPr>
                <w:rFonts w:ascii="Times New Roman" w:hAnsi="Times New Roman" w:cs="Times New Roman"/>
                <w:color w:val="000000"/>
              </w:rPr>
            </w:pPr>
            <w:r w:rsidRPr="00091426">
              <w:rPr>
                <w:rFonts w:ascii="Times New Roman" w:hAnsi="Times New Roman" w:cs="Times New Roman"/>
                <w:color w:val="000000" w:themeColor="text1"/>
              </w:rPr>
              <w:t>800</w:t>
            </w:r>
          </w:p>
        </w:tc>
        <w:tc>
          <w:tcPr>
            <w:tcW w:w="2206" w:type="dxa"/>
            <w:tcBorders>
              <w:top w:val="nil"/>
              <w:bottom w:val="nil"/>
              <w:right w:val="nil"/>
            </w:tcBorders>
            <w:vAlign w:val="center"/>
          </w:tcPr>
          <w:p w:rsidR="00091426" w:rsidRPr="00091426" w:rsidRDefault="00091426" w:rsidP="00091426">
            <w:pPr>
              <w:jc w:val="right"/>
              <w:rPr>
                <w:rFonts w:ascii="Times New Roman" w:hAnsi="Times New Roman" w:cs="Times New Roman"/>
                <w:color w:val="000000"/>
              </w:rPr>
            </w:pPr>
            <w:r w:rsidRPr="00091426">
              <w:rPr>
                <w:rFonts w:ascii="Times New Roman" w:hAnsi="Times New Roman" w:cs="Times New Roman"/>
                <w:color w:val="000000" w:themeColor="text1"/>
              </w:rPr>
              <w:t>400</w:t>
            </w:r>
          </w:p>
        </w:tc>
      </w:tr>
      <w:tr w:rsidR="00091426" w:rsidTr="00091426">
        <w:tc>
          <w:tcPr>
            <w:tcW w:w="2236" w:type="dxa"/>
            <w:tcBorders>
              <w:top w:val="nil"/>
              <w:left w:val="nil"/>
              <w:bottom w:val="nil"/>
            </w:tcBorders>
          </w:tcPr>
          <w:p w:rsidR="00091426" w:rsidRPr="00091426" w:rsidRDefault="00091426" w:rsidP="00091426">
            <w:pPr>
              <w:pStyle w:val="ListParagraph"/>
              <w:numPr>
                <w:ilvl w:val="0"/>
                <w:numId w:val="10"/>
              </w:numPr>
              <w:rPr>
                <w:rFonts w:ascii="Times New Roman" w:hAnsi="Times New Roman" w:cs="Times New Roman"/>
                <w:color w:val="000000" w:themeColor="text1"/>
              </w:rPr>
            </w:pPr>
            <w:r>
              <w:rPr>
                <w:rFonts w:ascii="Times New Roman" w:hAnsi="Times New Roman" w:cs="Times New Roman"/>
                <w:color w:val="000000" w:themeColor="text1"/>
              </w:rPr>
              <w:t>Hispanic</w:t>
            </w:r>
          </w:p>
        </w:tc>
        <w:tc>
          <w:tcPr>
            <w:tcW w:w="2208" w:type="dxa"/>
            <w:tcBorders>
              <w:top w:val="nil"/>
              <w:bottom w:val="nil"/>
            </w:tcBorders>
            <w:vAlign w:val="center"/>
          </w:tcPr>
          <w:p w:rsidR="00091426" w:rsidRPr="00091426" w:rsidRDefault="00091426" w:rsidP="00091426">
            <w:pPr>
              <w:jc w:val="right"/>
              <w:rPr>
                <w:rFonts w:ascii="Times New Roman" w:hAnsi="Times New Roman" w:cs="Times New Roman"/>
                <w:color w:val="000000"/>
              </w:rPr>
            </w:pPr>
            <w:r w:rsidRPr="00091426">
              <w:rPr>
                <w:rFonts w:ascii="Times New Roman" w:hAnsi="Times New Roman" w:cs="Times New Roman"/>
                <w:color w:val="000000" w:themeColor="text1"/>
              </w:rPr>
              <w:t>2300</w:t>
            </w:r>
          </w:p>
        </w:tc>
        <w:tc>
          <w:tcPr>
            <w:tcW w:w="2206" w:type="dxa"/>
            <w:tcBorders>
              <w:top w:val="nil"/>
              <w:bottom w:val="nil"/>
            </w:tcBorders>
            <w:vAlign w:val="center"/>
          </w:tcPr>
          <w:p w:rsidR="00091426" w:rsidRPr="00091426" w:rsidRDefault="00091426" w:rsidP="00091426">
            <w:pPr>
              <w:jc w:val="right"/>
              <w:rPr>
                <w:rFonts w:ascii="Times New Roman" w:hAnsi="Times New Roman" w:cs="Times New Roman"/>
                <w:color w:val="000000"/>
              </w:rPr>
            </w:pPr>
            <w:r w:rsidRPr="00091426">
              <w:rPr>
                <w:rFonts w:ascii="Times New Roman" w:hAnsi="Times New Roman" w:cs="Times New Roman"/>
                <w:color w:val="000000" w:themeColor="text1"/>
              </w:rPr>
              <w:t>600</w:t>
            </w:r>
          </w:p>
        </w:tc>
        <w:tc>
          <w:tcPr>
            <w:tcW w:w="2206" w:type="dxa"/>
            <w:tcBorders>
              <w:top w:val="nil"/>
              <w:bottom w:val="nil"/>
              <w:right w:val="nil"/>
            </w:tcBorders>
            <w:vAlign w:val="center"/>
          </w:tcPr>
          <w:p w:rsidR="00091426" w:rsidRPr="00091426" w:rsidRDefault="00091426" w:rsidP="00091426">
            <w:pPr>
              <w:jc w:val="right"/>
              <w:rPr>
                <w:rFonts w:ascii="Times New Roman" w:hAnsi="Times New Roman" w:cs="Times New Roman"/>
                <w:color w:val="000000"/>
              </w:rPr>
            </w:pPr>
            <w:r w:rsidRPr="00091426">
              <w:rPr>
                <w:rFonts w:ascii="Times New Roman" w:hAnsi="Times New Roman" w:cs="Times New Roman"/>
                <w:color w:val="000000" w:themeColor="text1"/>
              </w:rPr>
              <w:t>380</w:t>
            </w:r>
          </w:p>
        </w:tc>
      </w:tr>
      <w:tr w:rsidR="00091426" w:rsidTr="00091426">
        <w:tc>
          <w:tcPr>
            <w:tcW w:w="2236" w:type="dxa"/>
            <w:tcBorders>
              <w:top w:val="nil"/>
              <w:left w:val="nil"/>
              <w:bottom w:val="nil"/>
            </w:tcBorders>
          </w:tcPr>
          <w:p w:rsidR="00091426" w:rsidRPr="00091426" w:rsidRDefault="00091426" w:rsidP="00091426">
            <w:pPr>
              <w:pStyle w:val="ListParagraph"/>
              <w:numPr>
                <w:ilvl w:val="0"/>
                <w:numId w:val="10"/>
              </w:numPr>
              <w:rPr>
                <w:rFonts w:ascii="Times New Roman" w:hAnsi="Times New Roman" w:cs="Times New Roman"/>
                <w:color w:val="000000" w:themeColor="text1"/>
              </w:rPr>
            </w:pPr>
            <w:r>
              <w:rPr>
                <w:rFonts w:ascii="Times New Roman" w:hAnsi="Times New Roman" w:cs="Times New Roman"/>
                <w:color w:val="000000" w:themeColor="text1"/>
              </w:rPr>
              <w:t>Asian</w:t>
            </w:r>
          </w:p>
        </w:tc>
        <w:tc>
          <w:tcPr>
            <w:tcW w:w="2208" w:type="dxa"/>
            <w:tcBorders>
              <w:top w:val="nil"/>
              <w:bottom w:val="nil"/>
            </w:tcBorders>
            <w:vAlign w:val="center"/>
          </w:tcPr>
          <w:p w:rsidR="00091426" w:rsidRPr="00091426" w:rsidRDefault="00091426" w:rsidP="00091426">
            <w:pPr>
              <w:jc w:val="right"/>
              <w:rPr>
                <w:rFonts w:ascii="Times New Roman" w:hAnsi="Times New Roman" w:cs="Times New Roman"/>
                <w:color w:val="000000"/>
              </w:rPr>
            </w:pPr>
            <w:r w:rsidRPr="00091426">
              <w:rPr>
                <w:rFonts w:ascii="Times New Roman" w:hAnsi="Times New Roman" w:cs="Times New Roman"/>
                <w:color w:val="000000" w:themeColor="text1"/>
              </w:rPr>
              <w:t>590</w:t>
            </w:r>
          </w:p>
        </w:tc>
        <w:tc>
          <w:tcPr>
            <w:tcW w:w="2206" w:type="dxa"/>
            <w:tcBorders>
              <w:top w:val="nil"/>
              <w:bottom w:val="nil"/>
            </w:tcBorders>
            <w:vAlign w:val="center"/>
          </w:tcPr>
          <w:p w:rsidR="00091426" w:rsidRPr="00091426" w:rsidRDefault="00091426" w:rsidP="00091426">
            <w:pPr>
              <w:jc w:val="right"/>
              <w:rPr>
                <w:rFonts w:ascii="Times New Roman" w:hAnsi="Times New Roman" w:cs="Times New Roman"/>
                <w:color w:val="000000"/>
              </w:rPr>
            </w:pPr>
            <w:r w:rsidRPr="00091426">
              <w:rPr>
                <w:rFonts w:ascii="Times New Roman" w:hAnsi="Times New Roman" w:cs="Times New Roman"/>
                <w:color w:val="000000" w:themeColor="text1"/>
              </w:rPr>
              <w:t>210</w:t>
            </w:r>
          </w:p>
        </w:tc>
        <w:tc>
          <w:tcPr>
            <w:tcW w:w="2206" w:type="dxa"/>
            <w:tcBorders>
              <w:top w:val="nil"/>
              <w:bottom w:val="nil"/>
              <w:right w:val="nil"/>
            </w:tcBorders>
            <w:vAlign w:val="center"/>
          </w:tcPr>
          <w:p w:rsidR="00091426" w:rsidRPr="00091426" w:rsidRDefault="00091426" w:rsidP="00091426">
            <w:pPr>
              <w:jc w:val="right"/>
              <w:rPr>
                <w:rFonts w:ascii="Times New Roman" w:hAnsi="Times New Roman" w:cs="Times New Roman"/>
                <w:color w:val="000000"/>
              </w:rPr>
            </w:pPr>
            <w:r w:rsidRPr="00091426">
              <w:rPr>
                <w:rFonts w:ascii="Times New Roman" w:hAnsi="Times New Roman" w:cs="Times New Roman"/>
                <w:color w:val="000000" w:themeColor="text1"/>
              </w:rPr>
              <w:t>20</w:t>
            </w:r>
          </w:p>
        </w:tc>
      </w:tr>
      <w:tr w:rsidR="00091426" w:rsidTr="00091426">
        <w:tc>
          <w:tcPr>
            <w:tcW w:w="2236" w:type="dxa"/>
            <w:tcBorders>
              <w:top w:val="nil"/>
              <w:left w:val="nil"/>
            </w:tcBorders>
          </w:tcPr>
          <w:p w:rsidR="00091426" w:rsidRPr="00091426" w:rsidRDefault="00091426" w:rsidP="00091426">
            <w:pPr>
              <w:pStyle w:val="ListParagraph"/>
              <w:numPr>
                <w:ilvl w:val="0"/>
                <w:numId w:val="10"/>
              </w:numPr>
              <w:rPr>
                <w:rFonts w:ascii="Times New Roman" w:hAnsi="Times New Roman" w:cs="Times New Roman"/>
                <w:color w:val="000000" w:themeColor="text1"/>
              </w:rPr>
            </w:pPr>
            <w:r>
              <w:rPr>
                <w:rFonts w:ascii="Times New Roman" w:hAnsi="Times New Roman" w:cs="Times New Roman"/>
                <w:color w:val="000000" w:themeColor="text1"/>
              </w:rPr>
              <w:t>Other/Multiracial</w:t>
            </w:r>
          </w:p>
        </w:tc>
        <w:tc>
          <w:tcPr>
            <w:tcW w:w="2208" w:type="dxa"/>
            <w:tcBorders>
              <w:top w:val="nil"/>
            </w:tcBorders>
            <w:vAlign w:val="center"/>
          </w:tcPr>
          <w:p w:rsidR="00091426" w:rsidRPr="00091426" w:rsidRDefault="00091426" w:rsidP="00091426">
            <w:pPr>
              <w:jc w:val="right"/>
              <w:rPr>
                <w:rFonts w:ascii="Times New Roman" w:hAnsi="Times New Roman" w:cs="Times New Roman"/>
                <w:color w:val="000000"/>
              </w:rPr>
            </w:pPr>
            <w:r>
              <w:rPr>
                <w:rFonts w:ascii="Times New Roman" w:hAnsi="Times New Roman" w:cs="Times New Roman"/>
                <w:color w:val="000000" w:themeColor="text1"/>
              </w:rPr>
              <w:t>0</w:t>
            </w:r>
          </w:p>
        </w:tc>
        <w:tc>
          <w:tcPr>
            <w:tcW w:w="2206" w:type="dxa"/>
            <w:tcBorders>
              <w:top w:val="nil"/>
            </w:tcBorders>
            <w:vAlign w:val="center"/>
          </w:tcPr>
          <w:p w:rsidR="00091426" w:rsidRPr="00091426" w:rsidRDefault="00091426" w:rsidP="00091426">
            <w:pPr>
              <w:jc w:val="right"/>
              <w:rPr>
                <w:rFonts w:ascii="Times New Roman" w:hAnsi="Times New Roman" w:cs="Times New Roman"/>
                <w:color w:val="000000"/>
              </w:rPr>
            </w:pPr>
            <w:r w:rsidRPr="00091426">
              <w:rPr>
                <w:rFonts w:ascii="Times New Roman" w:hAnsi="Times New Roman" w:cs="Times New Roman"/>
                <w:color w:val="000000" w:themeColor="text1"/>
              </w:rPr>
              <w:t>10</w:t>
            </w:r>
          </w:p>
        </w:tc>
        <w:tc>
          <w:tcPr>
            <w:tcW w:w="2206" w:type="dxa"/>
            <w:tcBorders>
              <w:top w:val="nil"/>
              <w:right w:val="nil"/>
            </w:tcBorders>
            <w:vAlign w:val="center"/>
          </w:tcPr>
          <w:p w:rsidR="00091426" w:rsidRPr="00091426" w:rsidRDefault="00091426" w:rsidP="00091426">
            <w:pPr>
              <w:jc w:val="right"/>
              <w:rPr>
                <w:rFonts w:ascii="Times New Roman" w:hAnsi="Times New Roman" w:cs="Times New Roman"/>
                <w:color w:val="000000"/>
              </w:rPr>
            </w:pPr>
            <w:r>
              <w:rPr>
                <w:rFonts w:ascii="Times New Roman" w:hAnsi="Times New Roman" w:cs="Times New Roman"/>
                <w:color w:val="000000" w:themeColor="text1"/>
              </w:rPr>
              <w:t>0</w:t>
            </w:r>
          </w:p>
        </w:tc>
      </w:tr>
    </w:tbl>
    <w:p w:rsidR="00AD6FE7" w:rsidRDefault="00091426" w:rsidP="00AD6FE7">
      <w:pPr>
        <w:rPr>
          <w:rFonts w:ascii="Times New Roman" w:hAnsi="Times New Roman" w:cs="Times New Roman"/>
          <w:color w:val="000000" w:themeColor="text1"/>
          <w:sz w:val="20"/>
          <w:szCs w:val="20"/>
        </w:rPr>
      </w:pPr>
      <w:r w:rsidRPr="00091426">
        <w:rPr>
          <w:rFonts w:ascii="Times New Roman" w:hAnsi="Times New Roman" w:cs="Times New Roman"/>
          <w:color w:val="000000" w:themeColor="text1"/>
          <w:sz w:val="20"/>
          <w:szCs w:val="20"/>
        </w:rPr>
        <w:t xml:space="preserve">NOTE: </w:t>
      </w:r>
      <w:r w:rsidRPr="00091426">
        <w:rPr>
          <w:rFonts w:ascii="Times New Roman" w:hAnsi="Times New Roman" w:cs="Times New Roman"/>
          <w:color w:val="000000" w:themeColor="text1"/>
          <w:sz w:val="20"/>
          <w:szCs w:val="20"/>
        </w:rPr>
        <w:t xml:space="preserve">Numbers for sample sizes are unweighted and rounded to the nearest ten. Values may not sum to a total due to rounding. </w:t>
      </w:r>
      <w:r w:rsidRPr="00091426">
        <w:rPr>
          <w:rFonts w:ascii="Times New Roman" w:hAnsi="Times New Roman" w:cs="Times New Roman"/>
          <w:color w:val="000000" w:themeColor="text1"/>
          <w:sz w:val="20"/>
          <w:szCs w:val="20"/>
        </w:rPr>
        <w:br/>
      </w:r>
      <w:r w:rsidRPr="00091426">
        <w:rPr>
          <w:rFonts w:ascii="Times New Roman" w:hAnsi="Times New Roman" w:cs="Times New Roman"/>
          <w:color w:val="000000" w:themeColor="text1"/>
          <w:sz w:val="20"/>
          <w:szCs w:val="20"/>
        </w:rPr>
        <w:t>SOURCE: U.S. Department of Education, National Center on Educational Statistics (NCES), 2017 NAEP Grade 8 Mathematics Process Data, Student Features Data File Partial Form and Response Data File.</w:t>
      </w:r>
    </w:p>
    <w:p w:rsidR="00091426" w:rsidRPr="00091426" w:rsidRDefault="00091426" w:rsidP="00AD6FE7">
      <w:pPr>
        <w:rPr>
          <w:rFonts w:ascii="Times New Roman" w:hAnsi="Times New Roman" w:cs="Times New Roman"/>
          <w:color w:val="000000" w:themeColor="text1"/>
          <w:sz w:val="20"/>
          <w:szCs w:val="20"/>
        </w:rPr>
      </w:pPr>
    </w:p>
    <w:p w:rsidR="00AD6FE7" w:rsidRPr="00AD6FE7" w:rsidRDefault="00AD6FE7" w:rsidP="00AD6FE7">
      <w:pPr>
        <w:rPr>
          <w:rFonts w:ascii="Times New Roman" w:hAnsi="Times New Roman" w:cs="Times New Roman"/>
          <w:b/>
          <w:bCs/>
          <w:color w:val="000000" w:themeColor="text1"/>
        </w:rPr>
      </w:pPr>
      <w:r w:rsidRPr="00AD6FE7">
        <w:rPr>
          <w:rFonts w:ascii="Times New Roman" w:hAnsi="Times New Roman" w:cs="Times New Roman"/>
          <w:b/>
          <w:bCs/>
          <w:color w:val="000000" w:themeColor="text1"/>
        </w:rPr>
        <w:t>3.2 Regression Models</w:t>
      </w:r>
    </w:p>
    <w:p w:rsidR="00AD6FE7" w:rsidRDefault="00AD6FE7" w:rsidP="00AD6FE7">
      <w:pPr>
        <w:rPr>
          <w:rFonts w:ascii="Times New Roman" w:hAnsi="Times New Roman" w:cs="Times New Roman"/>
          <w:color w:val="000000" w:themeColor="text1"/>
        </w:rPr>
      </w:pPr>
      <w:r w:rsidRPr="00AD6FE7">
        <w:rPr>
          <w:rFonts w:ascii="Times New Roman" w:hAnsi="Times New Roman" w:cs="Times New Roman"/>
          <w:color w:val="000000" w:themeColor="text1"/>
        </w:rPr>
        <w:t>We utilized an Ordinary Least Squares (OLS) regression model to predict spring first-grade mathematics IRT scores. The model controlled for fall kindergarten baseline scores, socioeconomic status (SES), and school locale.</w:t>
      </w:r>
      <w:r>
        <w:rPr>
          <w:rFonts w:ascii="Times New Roman" w:hAnsi="Times New Roman" w:cs="Times New Roman"/>
          <w:color w:val="000000" w:themeColor="text1"/>
        </w:rPr>
        <w:t xml:space="preserve"> </w:t>
      </w:r>
    </w:p>
    <w:p w:rsidR="00AD6FE7" w:rsidRDefault="00AD6FE7" w:rsidP="00AD6FE7">
      <w:pPr>
        <w:rPr>
          <w:rFonts w:ascii="Times New Roman" w:hAnsi="Times New Roman" w:cs="Times New Roman"/>
          <w:color w:val="000000" w:themeColor="text1"/>
        </w:rPr>
      </w:pPr>
      <w:r w:rsidRPr="00AD6FE7">
        <w:rPr>
          <w:rFonts w:ascii="Times New Roman" w:hAnsi="Times New Roman" w:cs="Times New Roman"/>
          <w:color w:val="000000" w:themeColor="text1"/>
        </w:rPr>
        <w:t>The baseline model (without intervention variables) yielded an R</w:t>
      </w:r>
      <w:r w:rsidRPr="00AD6FE7">
        <w:rPr>
          <w:rFonts w:ascii="Times New Roman" w:hAnsi="Times New Roman" w:cs="Times New Roman"/>
          <w:color w:val="000000" w:themeColor="text1"/>
          <w:vertAlign w:val="superscript"/>
        </w:rPr>
        <w:t>2</w:t>
      </w:r>
      <w:r w:rsidRPr="00AD6FE7">
        <w:rPr>
          <w:rFonts w:ascii="Times New Roman" w:hAnsi="Times New Roman" w:cs="Times New Roman"/>
          <w:color w:val="000000" w:themeColor="text1"/>
        </w:rPr>
        <w:t xml:space="preserve"> of 0.45. Adding the intervention indicators significantly improved model fit (</w:t>
      </w:r>
      <w:proofErr w:type="gramStart"/>
      <w:r w:rsidRPr="00AD6FE7">
        <w:rPr>
          <w:rFonts w:ascii="Times New Roman" w:hAnsi="Times New Roman" w:cs="Times New Roman"/>
          <w:color w:val="000000" w:themeColor="text1"/>
        </w:rPr>
        <w:t>F(</w:t>
      </w:r>
      <w:proofErr w:type="gramEnd"/>
      <w:r w:rsidRPr="00AD6FE7">
        <w:rPr>
          <w:rFonts w:ascii="Times New Roman" w:hAnsi="Times New Roman" w:cs="Times New Roman"/>
          <w:color w:val="000000" w:themeColor="text1"/>
        </w:rPr>
        <w:t xml:space="preserve">2, 14318) = 45.2, p &lt; .001). High-intensity intervention was associated with a </w:t>
      </w:r>
      <w:proofErr w:type="gramStart"/>
      <w:r w:rsidRPr="00AD6FE7">
        <w:rPr>
          <w:rFonts w:ascii="Times New Roman" w:hAnsi="Times New Roman" w:cs="Times New Roman"/>
          <w:color w:val="000000" w:themeColor="text1"/>
        </w:rPr>
        <w:t>4.2 point</w:t>
      </w:r>
      <w:proofErr w:type="gramEnd"/>
      <w:r w:rsidRPr="00AD6FE7">
        <w:rPr>
          <w:rFonts w:ascii="Times New Roman" w:hAnsi="Times New Roman" w:cs="Times New Roman"/>
          <w:color w:val="000000" w:themeColor="text1"/>
        </w:rPr>
        <w:t xml:space="preserve"> increase in the spring IRT scale score (SE = 1.1, p &lt; .01) compared to the no-intervention control group.</w:t>
      </w:r>
    </w:p>
    <w:p w:rsidR="00AD6FE7" w:rsidRDefault="00AD6FE7" w:rsidP="00AD6FE7">
      <w:pPr>
        <w:rPr>
          <w:rFonts w:ascii="Times New Roman" w:hAnsi="Times New Roman" w:cs="Times New Roman"/>
          <w:color w:val="000000" w:themeColor="text1"/>
        </w:rPr>
      </w:pPr>
    </w:p>
    <w:p w:rsidR="00AD6FE7" w:rsidRPr="00AD6FE7" w:rsidRDefault="00AD6FE7" w:rsidP="00AD6FE7">
      <w:pPr>
        <w:rPr>
          <w:rFonts w:ascii="Times New Roman" w:hAnsi="Times New Roman" w:cs="Times New Roman"/>
          <w:b/>
          <w:bCs/>
          <w:color w:val="000000" w:themeColor="text1"/>
        </w:rPr>
      </w:pPr>
      <w:r w:rsidRPr="00AD6FE7">
        <w:rPr>
          <w:rFonts w:ascii="Times New Roman" w:hAnsi="Times New Roman" w:cs="Times New Roman"/>
          <w:b/>
          <w:bCs/>
          <w:color w:val="000000" w:themeColor="text1"/>
        </w:rPr>
        <w:lastRenderedPageBreak/>
        <w:t>4. Discussion</w:t>
      </w:r>
    </w:p>
    <w:p w:rsidR="00AD6FE7" w:rsidRDefault="00AD6FE7" w:rsidP="00AD6FE7">
      <w:pPr>
        <w:rPr>
          <w:rFonts w:ascii="Times New Roman" w:hAnsi="Times New Roman" w:cs="Times New Roman"/>
          <w:color w:val="000000" w:themeColor="text1"/>
        </w:rPr>
      </w:pPr>
      <w:r w:rsidRPr="00AD6FE7">
        <w:rPr>
          <w:rFonts w:ascii="Times New Roman" w:hAnsi="Times New Roman" w:cs="Times New Roman"/>
          <w:color w:val="000000" w:themeColor="text1"/>
        </w:rPr>
        <w:t>The findings underscore the importance of targeted, high-intensity interventions in early elementary grades. The data suggest that infrequent pull-out sessions (1-2 times per week) do not yield the same statistically significant benefits as more frequent instructional support.</w:t>
      </w:r>
    </w:p>
    <w:p w:rsidR="00AD6FE7" w:rsidRDefault="00AD6FE7" w:rsidP="00AD6FE7">
      <w:pPr>
        <w:rPr>
          <w:rFonts w:ascii="Times New Roman" w:hAnsi="Times New Roman" w:cs="Times New Roman"/>
          <w:color w:val="000000" w:themeColor="text1"/>
        </w:rPr>
      </w:pPr>
      <w:r w:rsidRPr="00AD6FE7">
        <w:rPr>
          <w:rFonts w:ascii="Times New Roman" w:hAnsi="Times New Roman" w:cs="Times New Roman"/>
          <w:color w:val="000000" w:themeColor="text1"/>
        </w:rPr>
        <w:t>Future research should investigate the specific curricula used during these pull-out sessions, which was a limitation of the current dataset.</w:t>
      </w:r>
    </w:p>
    <w:p w:rsidR="00AD6FE7" w:rsidRDefault="00AD6FE7">
      <w:pPr>
        <w:rPr>
          <w:rFonts w:ascii="Times New Roman" w:hAnsi="Times New Roman" w:cs="Times New Roman"/>
          <w:color w:val="000000" w:themeColor="text1"/>
        </w:rPr>
      </w:pPr>
    </w:p>
    <w:sectPr w:rsidR="00AD6FE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8896D59"/>
    <w:multiLevelType w:val="hybridMultilevel"/>
    <w:tmpl w:val="82BCF4E0"/>
    <w:lvl w:ilvl="0" w:tplc="ED7EC49E">
      <w:start w:val="4"/>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2072075234">
    <w:abstractNumId w:val="8"/>
  </w:num>
  <w:num w:numId="2" w16cid:durableId="1065688066">
    <w:abstractNumId w:val="6"/>
  </w:num>
  <w:num w:numId="3" w16cid:durableId="1095981148">
    <w:abstractNumId w:val="5"/>
  </w:num>
  <w:num w:numId="4" w16cid:durableId="2026713565">
    <w:abstractNumId w:val="4"/>
  </w:num>
  <w:num w:numId="5" w16cid:durableId="1770660237">
    <w:abstractNumId w:val="7"/>
  </w:num>
  <w:num w:numId="6" w16cid:durableId="2064332595">
    <w:abstractNumId w:val="3"/>
  </w:num>
  <w:num w:numId="7" w16cid:durableId="314191291">
    <w:abstractNumId w:val="2"/>
  </w:num>
  <w:num w:numId="8" w16cid:durableId="275411836">
    <w:abstractNumId w:val="1"/>
  </w:num>
  <w:num w:numId="9" w16cid:durableId="1172182238">
    <w:abstractNumId w:val="0"/>
  </w:num>
  <w:num w:numId="10" w16cid:durableId="3354993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1426"/>
    <w:rsid w:val="0015074B"/>
    <w:rsid w:val="0029639D"/>
    <w:rsid w:val="00326F90"/>
    <w:rsid w:val="00611DFA"/>
    <w:rsid w:val="007531B7"/>
    <w:rsid w:val="0078535C"/>
    <w:rsid w:val="00812072"/>
    <w:rsid w:val="00AA1D8D"/>
    <w:rsid w:val="00AD6FE7"/>
    <w:rsid w:val="00B47730"/>
    <w:rsid w:val="00CB0664"/>
    <w:rsid w:val="00CE7C23"/>
    <w:rsid w:val="00DF175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04DD8C"/>
  <w14:defaultImageDpi w14:val="300"/>
  <w15:docId w15:val="{23B6B82D-E348-D640-8341-9C46E8693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Youmi Suk</cp:lastModifiedBy>
  <cp:revision>5</cp:revision>
  <dcterms:created xsi:type="dcterms:W3CDTF">2013-12-23T23:15:00Z</dcterms:created>
  <dcterms:modified xsi:type="dcterms:W3CDTF">2026-04-03T07:46:00Z</dcterms:modified>
  <cp:category/>
</cp:coreProperties>
</file>